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DA05D" w14:textId="77777777" w:rsidR="00E82EEB" w:rsidRPr="000915CE" w:rsidRDefault="00292AD6" w:rsidP="00917CE8">
      <w:pPr>
        <w:pStyle w:val="Nadpis1"/>
        <w:ind w:left="709"/>
      </w:pPr>
      <w:r>
        <w:t>Purpose</w:t>
      </w:r>
    </w:p>
    <w:p w14:paraId="0405BC2E" w14:textId="179A0E68" w:rsidR="003A4BE9" w:rsidRPr="00B56B8E" w:rsidRDefault="00473907" w:rsidP="00917CE8">
      <w:pPr>
        <w:rPr>
          <w:rFonts w:ascii="Helvetica" w:hAnsi="Helvetica" w:cs="Helvetica"/>
        </w:rPr>
      </w:pPr>
      <w:r w:rsidRPr="00B56B8E">
        <w:rPr>
          <w:rFonts w:ascii="Helvetica" w:hAnsi="Helvetica" w:cs="Helvetica"/>
        </w:rPr>
        <w:t xml:space="preserve">The EMS Policy is a key document of the environmental management system implemented by </w:t>
      </w:r>
      <w:proofErr w:type="spellStart"/>
      <w:r w:rsidRPr="00B56B8E">
        <w:rPr>
          <w:rFonts w:ascii="Helvetica" w:hAnsi="Helvetica" w:cs="Helvetica"/>
        </w:rPr>
        <w:t>Avire</w:t>
      </w:r>
      <w:proofErr w:type="spellEnd"/>
      <w:r w:rsidRPr="00B56B8E">
        <w:rPr>
          <w:rFonts w:ascii="Helvetica" w:hAnsi="Helvetica" w:cs="Helvetica"/>
        </w:rPr>
        <w:t>. It determines the focus of Company’s activity in the area of EMS.</w:t>
      </w:r>
    </w:p>
    <w:p w14:paraId="28F984AA" w14:textId="77777777" w:rsidR="00D43AFC" w:rsidRDefault="00292AD6" w:rsidP="00917CE8">
      <w:pPr>
        <w:pStyle w:val="Nadpis1"/>
        <w:ind w:left="709"/>
      </w:pPr>
      <w:r>
        <w:t>Scope</w:t>
      </w:r>
    </w:p>
    <w:p w14:paraId="6B10DE31" w14:textId="1A2DEEB4" w:rsidR="003A4BE9" w:rsidRPr="00B56B8E" w:rsidRDefault="00473907" w:rsidP="00917CE8">
      <w:pPr>
        <w:rPr>
          <w:rFonts w:ascii="Helvetica" w:hAnsi="Helvetica" w:cs="Helvetica"/>
        </w:rPr>
      </w:pPr>
      <w:r w:rsidRPr="00B56B8E">
        <w:rPr>
          <w:rFonts w:ascii="Helvetica" w:hAnsi="Helvetica" w:cs="Helvetica"/>
        </w:rPr>
        <w:t>The Policy is valid and binding for all organizational units of the Company.</w:t>
      </w:r>
    </w:p>
    <w:p w14:paraId="01D662C6" w14:textId="77777777" w:rsidR="00292AD6" w:rsidRDefault="00012E6F" w:rsidP="00917CE8">
      <w:pPr>
        <w:pStyle w:val="Nadpis1"/>
        <w:ind w:left="709"/>
      </w:pPr>
      <w:r>
        <w:t>Related documentation</w:t>
      </w:r>
    </w:p>
    <w:p w14:paraId="45E309B2" w14:textId="4CB01788" w:rsidR="003A4BE9" w:rsidRPr="00B56B8E" w:rsidRDefault="00473907" w:rsidP="00917CE8">
      <w:pPr>
        <w:rPr>
          <w:rFonts w:ascii="Helvetica" w:hAnsi="Helvetica" w:cs="Helvetica"/>
        </w:rPr>
      </w:pPr>
      <w:r w:rsidRPr="00B56B8E">
        <w:rPr>
          <w:rFonts w:ascii="Helvetica" w:hAnsi="Helvetica" w:cs="Helvetica"/>
        </w:rPr>
        <w:t>Policies and other lower-level documents and records.</w:t>
      </w:r>
    </w:p>
    <w:p w14:paraId="4068128A" w14:textId="77777777" w:rsidR="003A4BE9" w:rsidRDefault="003A4BE9" w:rsidP="00917CE8">
      <w:pPr>
        <w:pStyle w:val="Nadpis1"/>
        <w:ind w:left="709"/>
      </w:pPr>
      <w:r>
        <w:t>Abbreviations</w:t>
      </w:r>
    </w:p>
    <w:p w14:paraId="0128E176" w14:textId="059BB120" w:rsidR="003A4BE9" w:rsidRPr="00B56B8E" w:rsidRDefault="003A4BE9" w:rsidP="00917CE8">
      <w:pPr>
        <w:rPr>
          <w:rFonts w:ascii="Helvetica" w:hAnsi="Helvetica" w:cs="Helvetica"/>
        </w:rPr>
      </w:pPr>
      <w:r w:rsidRPr="00B56B8E">
        <w:rPr>
          <w:rFonts w:ascii="Helvetica" w:hAnsi="Helvetica" w:cs="Helvetica"/>
        </w:rPr>
        <w:t>EMS – Environmental Management System</w:t>
      </w:r>
    </w:p>
    <w:p w14:paraId="18E340FC" w14:textId="77777777" w:rsidR="00246791" w:rsidRDefault="00246791" w:rsidP="00917CE8">
      <w:pPr>
        <w:pStyle w:val="Nadpis1"/>
        <w:ind w:left="709"/>
      </w:pPr>
      <w:r>
        <w:t>Reference</w:t>
      </w:r>
    </w:p>
    <w:p w14:paraId="185E0F76" w14:textId="5242CD2C" w:rsidR="003A4BE9" w:rsidRPr="00B56B8E" w:rsidRDefault="00917CE8" w:rsidP="00917CE8">
      <w:pPr>
        <w:rPr>
          <w:rFonts w:ascii="Helvetica" w:hAnsi="Helvetica" w:cs="Helvetica"/>
        </w:rPr>
      </w:pPr>
      <w:r w:rsidRPr="00B56B8E">
        <w:rPr>
          <w:rFonts w:ascii="Helvetica" w:hAnsi="Helvetica" w:cs="Helvetica"/>
        </w:rPr>
        <w:t>EN ISO 14001:2015 Environmental Management Systems</w:t>
      </w:r>
    </w:p>
    <w:p w14:paraId="386F42CF" w14:textId="305F8AC7" w:rsidR="00D43AFC" w:rsidRPr="00473907" w:rsidRDefault="00473907" w:rsidP="00917CE8">
      <w:pPr>
        <w:pStyle w:val="Nadpis1"/>
        <w:ind w:left="709"/>
      </w:pPr>
      <w:r>
        <w:t>Policy</w:t>
      </w:r>
      <w:r w:rsidR="00140AE4">
        <w:t xml:space="preserve"> (English)</w:t>
      </w:r>
    </w:p>
    <w:p w14:paraId="1F62E448" w14:textId="36A33BDD" w:rsidR="00473907" w:rsidRPr="00455B82" w:rsidRDefault="00455B82" w:rsidP="00823F65">
      <w:pPr>
        <w:rPr>
          <w:rFonts w:ascii="Helvetica" w:hAnsi="Helvetica"/>
        </w:rPr>
      </w:pPr>
      <w:proofErr w:type="spellStart"/>
      <w:r>
        <w:rPr>
          <w:rFonts w:ascii="Helvetica" w:hAnsi="Helvetica"/>
        </w:rPr>
        <w:t>Avire</w:t>
      </w:r>
      <w:proofErr w:type="spellEnd"/>
      <w:r>
        <w:rPr>
          <w:rFonts w:ascii="Helvetica" w:hAnsi="Helvetica"/>
        </w:rPr>
        <w:t xml:space="preserve"> belongs to the </w:t>
      </w:r>
      <w:proofErr w:type="spellStart"/>
      <w:r>
        <w:rPr>
          <w:rFonts w:ascii="Helvetica" w:hAnsi="Helvetica"/>
        </w:rPr>
        <w:t>Halma</w:t>
      </w:r>
      <w:proofErr w:type="spellEnd"/>
      <w:r>
        <w:rPr>
          <w:rFonts w:ascii="Helvetica" w:hAnsi="Helvetica"/>
        </w:rPr>
        <w:t xml:space="preserve"> Group. The Company manufactures safety systems and communication equipment for lifts. The Company provides its products to customers worldwide. Other important stakeholders are the Company’s employees, suppliers, neighbouring organizations, people living in the surrounding areas, local and government authorities.</w:t>
      </w:r>
    </w:p>
    <w:p w14:paraId="32656353" w14:textId="04C25676" w:rsidR="00473907" w:rsidRPr="00455B82" w:rsidRDefault="00473907" w:rsidP="00823F65">
      <w:pPr>
        <w:rPr>
          <w:rFonts w:ascii="Helvetica" w:hAnsi="Helvetica"/>
        </w:rPr>
      </w:pPr>
      <w:r>
        <w:rPr>
          <w:rFonts w:ascii="Helvetica" w:hAnsi="Helvetica"/>
        </w:rPr>
        <w:t>For effective management of the Company and production processes with respect to environmental protection, the Company has implemented the environmental management system according to ISO 14001, and checks its compliance with this standard by means of internal audits.</w:t>
      </w:r>
    </w:p>
    <w:p w14:paraId="76A04735" w14:textId="43C8D9C8" w:rsidR="00473907" w:rsidRPr="00455B82" w:rsidRDefault="00473907" w:rsidP="00823F65">
      <w:pPr>
        <w:rPr>
          <w:rFonts w:ascii="Helvetica" w:hAnsi="Helvetica"/>
        </w:rPr>
      </w:pPr>
      <w:r>
        <w:rPr>
          <w:rFonts w:ascii="Helvetica" w:hAnsi="Helvetica"/>
        </w:rPr>
        <w:t xml:space="preserve">The prime strategic objective of </w:t>
      </w:r>
      <w:proofErr w:type="spellStart"/>
      <w:r>
        <w:rPr>
          <w:rFonts w:ascii="Helvetica" w:hAnsi="Helvetica"/>
        </w:rPr>
        <w:t>Avire</w:t>
      </w:r>
      <w:proofErr w:type="spellEnd"/>
      <w:r>
        <w:rPr>
          <w:rFonts w:ascii="Helvetica" w:hAnsi="Helvetica"/>
        </w:rPr>
        <w:t xml:space="preserve"> is to satisfy the current and future needs and expectations of our customers, and thus to enhance our competitiveness on the market. But permanent improvement is also required in all areas that affect the environmental protection. Therefore</w:t>
      </w:r>
      <w:r w:rsidR="006456CC">
        <w:rPr>
          <w:rFonts w:ascii="Helvetica" w:hAnsi="Helvetica"/>
        </w:rPr>
        <w:t>,</w:t>
      </w:r>
      <w:r>
        <w:rPr>
          <w:rFonts w:ascii="Helvetica" w:hAnsi="Helvetica"/>
        </w:rPr>
        <w:t xml:space="preserve"> the management undertook to implement the principles of environmental prevention a protection, and to minimize negative impacts on the stakeholders. We also apply them to our relevant business partners in a suitable way.</w:t>
      </w:r>
    </w:p>
    <w:p w14:paraId="7DD8B735" w14:textId="519406C6" w:rsidR="00473907" w:rsidRPr="00455B82" w:rsidRDefault="00473907" w:rsidP="00823F65">
      <w:pPr>
        <w:rPr>
          <w:rFonts w:ascii="Helvetica" w:hAnsi="Helvetica"/>
        </w:rPr>
      </w:pPr>
      <w:r>
        <w:rPr>
          <w:rFonts w:ascii="Helvetica" w:hAnsi="Helvetica"/>
        </w:rPr>
        <w:t>For successful implementation of strategic intentions, the Company’s management prepared and approved this Policy, which sets a framework for the overall objectives in the area of EMS. By means of these objectives, the Company takes necessary steps for the EMS improvement, which enable reducing the impacts of negative aspects.</w:t>
      </w:r>
    </w:p>
    <w:p w14:paraId="7DF96F4D" w14:textId="77777777" w:rsidR="00473907" w:rsidRPr="00455B82" w:rsidRDefault="00473907" w:rsidP="00823F65">
      <w:pPr>
        <w:rPr>
          <w:rFonts w:ascii="Helvetica" w:hAnsi="Helvetica"/>
        </w:rPr>
      </w:pPr>
      <w:r>
        <w:rPr>
          <w:rFonts w:ascii="Helvetica" w:hAnsi="Helvetica"/>
        </w:rPr>
        <w:t>The Company’s management treats the system as a constantly developing part of the overall management, efficiently supporting the achievement of strategic intentions of the organization through adequately set processes and control parameters of the performance in the area of environmental protection when fulfilling them.</w:t>
      </w:r>
    </w:p>
    <w:p w14:paraId="65C503E6" w14:textId="1AA4614B" w:rsidR="00E92E02" w:rsidRDefault="00473907" w:rsidP="00823F65">
      <w:pPr>
        <w:rPr>
          <w:rFonts w:ascii="Helvetica" w:hAnsi="Helvetica"/>
        </w:rPr>
      </w:pPr>
      <w:r>
        <w:rPr>
          <w:rFonts w:ascii="Helvetica" w:hAnsi="Helvetica"/>
        </w:rPr>
        <w:lastRenderedPageBreak/>
        <w:t>One of the key aspects of the successful and efficient management is the fulfilment of mandatory duties arising both under legislative and normative, contractual and other requirements. The Company also undertakes to protect the environment, and to take actions to prevent pollution.</w:t>
      </w:r>
    </w:p>
    <w:p w14:paraId="260B8EE2" w14:textId="5857CC60" w:rsidR="00370B3E" w:rsidRPr="00370B3E" w:rsidRDefault="00370B3E" w:rsidP="00370B3E">
      <w:pPr>
        <w:pStyle w:val="Nadpis1"/>
        <w:ind w:left="709"/>
        <w:rPr>
          <w:lang w:val="cs-CZ"/>
        </w:rPr>
      </w:pPr>
      <w:r w:rsidRPr="00370B3E">
        <w:rPr>
          <w:lang w:val="cs-CZ"/>
        </w:rPr>
        <w:t>Politika (česky)</w:t>
      </w:r>
    </w:p>
    <w:p w14:paraId="24753C8F" w14:textId="77777777" w:rsidR="00370B3E" w:rsidRPr="00370B3E" w:rsidRDefault="00370B3E" w:rsidP="00370B3E">
      <w:pPr>
        <w:rPr>
          <w:rFonts w:ascii="Helvetica" w:hAnsi="Helvetica"/>
          <w:lang w:val="cs-CZ"/>
        </w:rPr>
      </w:pPr>
      <w:proofErr w:type="spellStart"/>
      <w:r w:rsidRPr="00370B3E">
        <w:rPr>
          <w:rFonts w:ascii="Helvetica" w:hAnsi="Helvetica"/>
          <w:lang w:val="cs-CZ"/>
        </w:rPr>
        <w:t>Avire</w:t>
      </w:r>
      <w:proofErr w:type="spellEnd"/>
      <w:r w:rsidRPr="00370B3E">
        <w:rPr>
          <w:rFonts w:ascii="Helvetica" w:hAnsi="Helvetica"/>
          <w:lang w:val="cs-CZ"/>
        </w:rPr>
        <w:t xml:space="preserve"> je sou</w:t>
      </w:r>
      <w:r w:rsidRPr="00370B3E">
        <w:rPr>
          <w:rFonts w:ascii="Helvetica" w:eastAsia="Helvetica" w:hAnsi="Helvetica" w:cs="Helvetica"/>
          <w:lang w:val="cs-CZ"/>
        </w:rPr>
        <w:t xml:space="preserve">částí skupiny Halma. Společnost realizuje </w:t>
      </w:r>
      <w:r w:rsidRPr="00370B3E">
        <w:rPr>
          <w:rFonts w:ascii="Helvetica" w:hAnsi="Helvetica"/>
          <w:lang w:val="cs-CZ"/>
        </w:rPr>
        <w:t>v</w:t>
      </w:r>
      <w:r w:rsidRPr="00370B3E">
        <w:rPr>
          <w:rFonts w:ascii="Helvetica" w:eastAsia="Helvetica" w:hAnsi="Helvetica" w:cs="Helvetica"/>
          <w:lang w:val="cs-CZ"/>
        </w:rPr>
        <w:t>ýrobu bezpečnostních systémů a komunikačních zařízení pro výtahy</w:t>
      </w:r>
      <w:r w:rsidRPr="00370B3E">
        <w:rPr>
          <w:rFonts w:ascii="Helvetica" w:hAnsi="Helvetica"/>
          <w:lang w:val="cs-CZ"/>
        </w:rPr>
        <w:t>. Sv</w:t>
      </w:r>
      <w:r w:rsidRPr="00370B3E">
        <w:rPr>
          <w:rFonts w:ascii="Helvetica" w:eastAsia="Helvetica" w:hAnsi="Helvetica" w:cs="Helvetica"/>
          <w:lang w:val="cs-CZ"/>
        </w:rPr>
        <w:t xml:space="preserve">é produkty společnost obchoduje zákazníkům po celém světě. Mezi další významné zainteresované strany patří zaměstnanci společnosti, dodavatelé, sousedící organizace, obyvatelé </w:t>
      </w:r>
      <w:r w:rsidRPr="00370B3E">
        <w:rPr>
          <w:rFonts w:ascii="Helvetica" w:hAnsi="Helvetica"/>
          <w:lang w:val="cs-CZ"/>
        </w:rPr>
        <w:t>žijící v okolních lokalitách</w:t>
      </w:r>
      <w:r w:rsidRPr="00370B3E">
        <w:rPr>
          <w:rFonts w:ascii="Helvetica" w:eastAsia="Helvetica" w:hAnsi="Helvetica" w:cs="Helvetica"/>
          <w:lang w:val="cs-CZ"/>
        </w:rPr>
        <w:t>, samospráva a státní správa.</w:t>
      </w:r>
    </w:p>
    <w:p w14:paraId="40A1063A" w14:textId="77777777" w:rsidR="00370B3E" w:rsidRPr="00370B3E" w:rsidRDefault="00370B3E" w:rsidP="00370B3E">
      <w:pPr>
        <w:rPr>
          <w:rFonts w:ascii="Helvetica" w:hAnsi="Helvetica"/>
          <w:lang w:val="cs-CZ"/>
        </w:rPr>
      </w:pPr>
      <w:r w:rsidRPr="00370B3E">
        <w:rPr>
          <w:rFonts w:ascii="Helvetica" w:hAnsi="Helvetica"/>
          <w:lang w:val="cs-CZ"/>
        </w:rPr>
        <w:t>Pro efektivn</w:t>
      </w:r>
      <w:r w:rsidRPr="00370B3E">
        <w:rPr>
          <w:rFonts w:ascii="Helvetica" w:eastAsia="Helvetica" w:hAnsi="Helvetica" w:cs="Helvetica"/>
          <w:lang w:val="cs-CZ"/>
        </w:rPr>
        <w:t>í říz</w:t>
      </w:r>
      <w:r w:rsidRPr="00370B3E">
        <w:rPr>
          <w:rFonts w:ascii="Helvetica" w:hAnsi="Helvetica"/>
          <w:lang w:val="cs-CZ"/>
        </w:rPr>
        <w:t>en</w:t>
      </w:r>
      <w:r w:rsidRPr="00370B3E">
        <w:rPr>
          <w:rFonts w:ascii="Helvetica" w:eastAsia="Helvetica" w:hAnsi="Helvetica" w:cs="Helvetica"/>
          <w:lang w:val="cs-CZ"/>
        </w:rPr>
        <w:t>í společnosti a výrobních procesů s respektem k och</w:t>
      </w:r>
      <w:r w:rsidRPr="00370B3E">
        <w:rPr>
          <w:rFonts w:ascii="Helvetica" w:hAnsi="Helvetica"/>
          <w:lang w:val="cs-CZ"/>
        </w:rPr>
        <w:t>ran</w:t>
      </w:r>
      <w:r w:rsidRPr="00370B3E">
        <w:rPr>
          <w:rFonts w:ascii="Helvetica" w:eastAsia="Helvetica" w:hAnsi="Helvetica" w:cs="Helvetica"/>
          <w:lang w:val="cs-CZ"/>
        </w:rPr>
        <w:t>ě životního prostředí společnost implementovala systém environmentálního manag</w:t>
      </w:r>
      <w:r w:rsidRPr="00370B3E">
        <w:rPr>
          <w:rFonts w:ascii="Helvetica" w:hAnsi="Helvetica"/>
          <w:lang w:val="cs-CZ"/>
        </w:rPr>
        <w:t>ementu dle ISO 14001</w:t>
      </w:r>
      <w:r w:rsidRPr="00370B3E">
        <w:rPr>
          <w:rFonts w:ascii="Helvetica" w:eastAsia="Helvetica" w:hAnsi="Helvetica" w:cs="Helvetica"/>
          <w:lang w:val="cs-CZ"/>
        </w:rPr>
        <w:t>, jehož shodu s předmětnou normou společnost ověřuje interními audity.</w:t>
      </w:r>
    </w:p>
    <w:p w14:paraId="7C78B576" w14:textId="77777777" w:rsidR="00370B3E" w:rsidRPr="00370B3E" w:rsidRDefault="00370B3E" w:rsidP="00370B3E">
      <w:pPr>
        <w:rPr>
          <w:rFonts w:ascii="Helvetica" w:hAnsi="Helvetica"/>
          <w:lang w:val="cs-CZ"/>
        </w:rPr>
      </w:pPr>
      <w:r w:rsidRPr="00370B3E">
        <w:rPr>
          <w:rFonts w:ascii="Helvetica" w:hAnsi="Helvetica"/>
          <w:lang w:val="cs-CZ"/>
        </w:rPr>
        <w:t xml:space="preserve">Pro </w:t>
      </w:r>
      <w:proofErr w:type="spellStart"/>
      <w:r w:rsidRPr="00370B3E">
        <w:rPr>
          <w:rFonts w:ascii="Helvetica" w:hAnsi="Helvetica"/>
          <w:lang w:val="cs-CZ"/>
        </w:rPr>
        <w:t>Avire</w:t>
      </w:r>
      <w:proofErr w:type="spellEnd"/>
      <w:r w:rsidRPr="00370B3E">
        <w:rPr>
          <w:rFonts w:ascii="Helvetica" w:eastAsia="Helvetica" w:hAnsi="Helvetica" w:cs="Helvetica"/>
          <w:lang w:val="cs-CZ"/>
        </w:rPr>
        <w:t xml:space="preserve"> je základním strategickým cílem uspokojovat současné a budoucí potřeby a očekávání zákazníků, a</w:t>
      </w:r>
      <w:r w:rsidRPr="00370B3E">
        <w:rPr>
          <w:rFonts w:ascii="Helvetica" w:hAnsi="Helvetica"/>
          <w:lang w:val="cs-CZ"/>
        </w:rPr>
        <w:t xml:space="preserve"> t</w:t>
      </w:r>
      <w:r w:rsidRPr="00370B3E">
        <w:rPr>
          <w:rFonts w:ascii="Helvetica" w:eastAsia="Helvetica" w:hAnsi="Helvetica" w:cs="Helvetica"/>
          <w:lang w:val="cs-CZ"/>
        </w:rPr>
        <w:t>ím zvyšovat konkurencescho</w:t>
      </w:r>
      <w:r w:rsidRPr="00370B3E">
        <w:rPr>
          <w:rFonts w:ascii="Helvetica" w:hAnsi="Helvetica"/>
          <w:lang w:val="cs-CZ"/>
        </w:rPr>
        <w:t xml:space="preserve">pnost </w:t>
      </w:r>
      <w:r w:rsidRPr="00370B3E">
        <w:rPr>
          <w:rFonts w:ascii="Helvetica" w:eastAsia="Helvetica" w:hAnsi="Helvetica" w:cs="Helvetica"/>
          <w:lang w:val="cs-CZ"/>
        </w:rPr>
        <w:t>na trhu. Trvalé zlepšování se ovšem vyžaduje také ve všech oblastech, které se dotýkají ochrany životního prostředí. Proto si vedení stanovilo závazek realizovat principy prevence a ochrany životního prostředí a minimalizace negativních dopadů na zainteresované strany. T</w:t>
      </w:r>
      <w:r w:rsidRPr="00370B3E">
        <w:rPr>
          <w:rFonts w:ascii="Helvetica" w:hAnsi="Helvetica"/>
          <w:lang w:val="cs-CZ"/>
        </w:rPr>
        <w:t>yto vhodn</w:t>
      </w:r>
      <w:r w:rsidRPr="00370B3E">
        <w:rPr>
          <w:rFonts w:ascii="Helvetica" w:eastAsia="Helvetica" w:hAnsi="Helvetica" w:cs="Helvetica"/>
          <w:lang w:val="cs-CZ"/>
        </w:rPr>
        <w:t>ě přenášíme i na relevantní obchodní partnery.</w:t>
      </w:r>
    </w:p>
    <w:p w14:paraId="3DD65A44" w14:textId="77777777" w:rsidR="00370B3E" w:rsidRPr="00370B3E" w:rsidRDefault="00370B3E" w:rsidP="00370B3E">
      <w:pPr>
        <w:rPr>
          <w:rFonts w:ascii="Helvetica" w:hAnsi="Helvetica"/>
          <w:lang w:val="cs-CZ"/>
        </w:rPr>
      </w:pPr>
      <w:r w:rsidRPr="00370B3E">
        <w:rPr>
          <w:rFonts w:ascii="Helvetica" w:hAnsi="Helvetica"/>
          <w:lang w:val="cs-CZ"/>
        </w:rPr>
        <w:t xml:space="preserve">Pro </w:t>
      </w:r>
      <w:r w:rsidRPr="00370B3E">
        <w:rPr>
          <w:rFonts w:ascii="Helvetica" w:eastAsia="Helvetica" w:hAnsi="Helvetica" w:cs="Helvetica"/>
          <w:lang w:val="cs-CZ"/>
        </w:rPr>
        <w:t xml:space="preserve">úspěšnou realizaci strategických záměrů zpracovalo a schválilo vedení společnosti tuto Politiku, která tvoří rámec pro </w:t>
      </w:r>
      <w:r w:rsidRPr="00370B3E">
        <w:rPr>
          <w:rFonts w:ascii="Helvetica" w:hAnsi="Helvetica"/>
          <w:lang w:val="cs-CZ"/>
        </w:rPr>
        <w:t>celkov</w:t>
      </w:r>
      <w:r w:rsidRPr="00370B3E">
        <w:rPr>
          <w:rFonts w:ascii="Helvetica" w:eastAsia="Helvetica" w:hAnsi="Helvetica" w:cs="Helvetica"/>
          <w:lang w:val="cs-CZ"/>
        </w:rPr>
        <w:t>é cíle v oblasti EMS. Prostřednictvím nich pak realizuje kroky potř</w:t>
      </w:r>
      <w:r w:rsidRPr="00370B3E">
        <w:rPr>
          <w:rFonts w:ascii="Helvetica" w:hAnsi="Helvetica"/>
          <w:lang w:val="cs-CZ"/>
        </w:rPr>
        <w:t>ebn</w:t>
      </w:r>
      <w:r w:rsidRPr="00370B3E">
        <w:rPr>
          <w:rFonts w:ascii="Helvetica" w:eastAsia="Helvetica" w:hAnsi="Helvetica" w:cs="Helvetica"/>
          <w:lang w:val="cs-CZ"/>
        </w:rPr>
        <w:t>é pro zlepšování EMS, které umožňují snížení vlivu negativních environmentálních aspektů.</w:t>
      </w:r>
    </w:p>
    <w:p w14:paraId="6351B9D8" w14:textId="77777777" w:rsidR="00370B3E" w:rsidRPr="00370B3E" w:rsidRDefault="00370B3E" w:rsidP="00370B3E">
      <w:pPr>
        <w:rPr>
          <w:rFonts w:ascii="Helvetica" w:hAnsi="Helvetica"/>
          <w:lang w:val="cs-CZ"/>
        </w:rPr>
      </w:pPr>
      <w:r w:rsidRPr="00370B3E">
        <w:rPr>
          <w:rFonts w:ascii="Helvetica" w:hAnsi="Helvetica"/>
          <w:lang w:val="cs-CZ"/>
        </w:rPr>
        <w:t>Veden</w:t>
      </w:r>
      <w:r w:rsidRPr="00370B3E">
        <w:rPr>
          <w:rFonts w:ascii="Helvetica" w:eastAsia="Helvetica" w:hAnsi="Helvetica" w:cs="Helvetica"/>
          <w:lang w:val="cs-CZ"/>
        </w:rPr>
        <w:t>í společnosti považuje systém za neustále rozvíjející se součást celkového řízení, účinně podporující d</w:t>
      </w:r>
      <w:r w:rsidRPr="00370B3E">
        <w:rPr>
          <w:rFonts w:ascii="Helvetica" w:hAnsi="Helvetica"/>
          <w:lang w:val="cs-CZ"/>
        </w:rPr>
        <w:t>osahov</w:t>
      </w:r>
      <w:r w:rsidRPr="00370B3E">
        <w:rPr>
          <w:rFonts w:ascii="Helvetica" w:eastAsia="Helvetica" w:hAnsi="Helvetica" w:cs="Helvetica"/>
          <w:lang w:val="cs-CZ"/>
        </w:rPr>
        <w:t xml:space="preserve">ání strategických záměrů organizace prostřednictvím vhodně nastavených procesů a kontrolních parametrů výkonnosti v oblasti </w:t>
      </w:r>
      <w:proofErr w:type="spellStart"/>
      <w:r w:rsidRPr="00370B3E">
        <w:rPr>
          <w:rFonts w:ascii="Helvetica" w:eastAsia="Helvetica" w:hAnsi="Helvetica" w:cs="Helvetica"/>
          <w:lang w:val="cs-CZ"/>
        </w:rPr>
        <w:t>environmentu</w:t>
      </w:r>
      <w:proofErr w:type="spellEnd"/>
      <w:r w:rsidRPr="00370B3E">
        <w:rPr>
          <w:rFonts w:ascii="Helvetica" w:eastAsia="Helvetica" w:hAnsi="Helvetica" w:cs="Helvetica"/>
          <w:lang w:val="cs-CZ"/>
        </w:rPr>
        <w:t xml:space="preserve"> při jejich naplňování.</w:t>
      </w:r>
    </w:p>
    <w:p w14:paraId="515376D3" w14:textId="14FEB5BE" w:rsidR="00370B3E" w:rsidRDefault="00370B3E" w:rsidP="00370B3E">
      <w:pPr>
        <w:rPr>
          <w:rFonts w:ascii="Helvetica" w:hAnsi="Helvetica"/>
          <w:lang w:val="cs-CZ"/>
        </w:rPr>
      </w:pPr>
      <w:r w:rsidRPr="00370B3E">
        <w:rPr>
          <w:rFonts w:ascii="Helvetica" w:hAnsi="Helvetica"/>
          <w:lang w:val="cs-CZ"/>
        </w:rPr>
        <w:t>Jedn</w:t>
      </w:r>
      <w:r w:rsidRPr="00370B3E">
        <w:rPr>
          <w:rFonts w:ascii="Helvetica" w:eastAsia="Helvetica" w:hAnsi="Helvetica" w:cs="Helvetica"/>
          <w:lang w:val="cs-CZ"/>
        </w:rPr>
        <w:t>ím z klíčových aspektů pro úspěšné a efektivní řízení je plnění závazných povinností p</w:t>
      </w:r>
      <w:r w:rsidRPr="00370B3E">
        <w:rPr>
          <w:rFonts w:ascii="Helvetica" w:hAnsi="Helvetica"/>
          <w:lang w:val="cs-CZ"/>
        </w:rPr>
        <w:t>lynouc</w:t>
      </w:r>
      <w:r w:rsidRPr="00370B3E">
        <w:rPr>
          <w:rFonts w:ascii="Helvetica" w:eastAsia="Helvetica" w:hAnsi="Helvetica" w:cs="Helvetica"/>
          <w:lang w:val="cs-CZ"/>
        </w:rPr>
        <w:t xml:space="preserve">ích jak </w:t>
      </w:r>
      <w:r w:rsidRPr="00370B3E">
        <w:rPr>
          <w:rFonts w:ascii="Helvetica" w:hAnsi="Helvetica"/>
          <w:lang w:val="cs-CZ"/>
        </w:rPr>
        <w:t>z legislativn</w:t>
      </w:r>
      <w:r w:rsidRPr="00370B3E">
        <w:rPr>
          <w:rFonts w:ascii="Helvetica" w:eastAsia="Helvetica" w:hAnsi="Helvetica" w:cs="Helvetica"/>
          <w:lang w:val="cs-CZ"/>
        </w:rPr>
        <w:t>ích, ale i normativních, smluvních a jiných požadavků. Stejně tak se společnost zavazuje chránit životní prostředí a aplikovat opatření k prevenci znečištění</w:t>
      </w:r>
      <w:r w:rsidRPr="00370B3E">
        <w:rPr>
          <w:rFonts w:ascii="Helvetica" w:hAnsi="Helvetica"/>
          <w:lang w:val="cs-CZ"/>
        </w:rPr>
        <w:t>.</w:t>
      </w:r>
    </w:p>
    <w:p w14:paraId="7B5F35C1" w14:textId="77777777" w:rsidR="00370B3E" w:rsidRPr="00473907" w:rsidRDefault="00370B3E" w:rsidP="00370B3E">
      <w:pPr>
        <w:pStyle w:val="Nadpis1"/>
        <w:ind w:left="709"/>
      </w:pPr>
      <w:r>
        <w:rPr>
          <w:rFonts w:hint="eastAsia"/>
          <w:lang w:eastAsia="zh-CN"/>
        </w:rPr>
        <w:t>政策</w:t>
      </w:r>
    </w:p>
    <w:p w14:paraId="0E9E387C" w14:textId="77777777" w:rsidR="00370B3E" w:rsidRDefault="00370B3E" w:rsidP="00370B3E">
      <w:pPr>
        <w:ind w:left="709"/>
        <w:rPr>
          <w:lang w:eastAsia="zh-CN"/>
        </w:rPr>
      </w:pPr>
      <w:proofErr w:type="spellStart"/>
      <w:r w:rsidRPr="005B3C63">
        <w:rPr>
          <w:lang w:eastAsia="zh-CN"/>
        </w:rPr>
        <w:t>Avire</w:t>
      </w:r>
      <w:proofErr w:type="spellEnd"/>
      <w:r w:rsidRPr="005B3C63">
        <w:rPr>
          <w:lang w:eastAsia="zh-CN"/>
        </w:rPr>
        <w:t>属于豪迈集团。公司生产电梯安全系统和通信设备。该公司为全球客户提供产品。其他重要的利益相关者是公司的员工,供应商,邻近的组织,生活在周围的地区人们,当地政府机构。</w:t>
      </w:r>
      <w:r w:rsidRPr="005B3C63">
        <w:rPr>
          <w:lang w:eastAsia="zh-CN"/>
        </w:rPr>
        <w:br/>
      </w:r>
    </w:p>
    <w:p w14:paraId="66E99AD3" w14:textId="77777777" w:rsidR="00370B3E" w:rsidRPr="001A1CC7" w:rsidRDefault="00370B3E" w:rsidP="00370B3E">
      <w:pPr>
        <w:ind w:left="709"/>
        <w:rPr>
          <w:rFonts w:ascii="Helvetica" w:hAnsi="Helvetica"/>
          <w:lang w:eastAsia="zh-CN"/>
        </w:rPr>
      </w:pPr>
      <w:r w:rsidRPr="005B3C63">
        <w:rPr>
          <w:lang w:eastAsia="zh-CN"/>
        </w:rPr>
        <w:t>对公司的有效管理和生产过程对</w:t>
      </w:r>
      <w:r>
        <w:rPr>
          <w:rFonts w:hint="eastAsia"/>
          <w:lang w:eastAsia="zh-CN"/>
        </w:rPr>
        <w:t>环境保护</w:t>
      </w:r>
      <w:r w:rsidRPr="005B3C63">
        <w:rPr>
          <w:lang w:eastAsia="zh-CN"/>
        </w:rPr>
        <w:t>,公司已经实现了</w:t>
      </w:r>
      <w:r>
        <w:rPr>
          <w:rFonts w:hint="eastAsia"/>
          <w:lang w:eastAsia="zh-CN"/>
        </w:rPr>
        <w:t>环境管理系统</w:t>
      </w:r>
      <w:r w:rsidRPr="005B3C63">
        <w:rPr>
          <w:lang w:eastAsia="zh-CN"/>
        </w:rPr>
        <w:t>根据</w:t>
      </w:r>
      <w:r>
        <w:rPr>
          <w:rFonts w:hint="eastAsia"/>
          <w:lang w:eastAsia="zh-CN"/>
        </w:rPr>
        <w:t>ISO14001</w:t>
      </w:r>
      <w:r w:rsidRPr="005B3C63">
        <w:rPr>
          <w:lang w:eastAsia="zh-CN"/>
        </w:rPr>
        <w:t>,并检查其遵守本标准的内部审计。</w:t>
      </w:r>
    </w:p>
    <w:p w14:paraId="2AE5902F" w14:textId="77777777" w:rsidR="00370B3E" w:rsidRDefault="00370B3E" w:rsidP="00370B3E">
      <w:pPr>
        <w:rPr>
          <w:lang w:eastAsia="zh-CN"/>
        </w:rPr>
      </w:pPr>
      <w:proofErr w:type="spellStart"/>
      <w:r w:rsidRPr="001A1CC7">
        <w:rPr>
          <w:lang w:eastAsia="zh-CN"/>
        </w:rPr>
        <w:lastRenderedPageBreak/>
        <w:t>Avire</w:t>
      </w:r>
      <w:proofErr w:type="spellEnd"/>
      <w:r w:rsidRPr="001A1CC7">
        <w:rPr>
          <w:lang w:eastAsia="zh-CN"/>
        </w:rPr>
        <w:t>的主要战略目标是满足客户当前和未来的需求和期望</w:t>
      </w:r>
      <w:proofErr w:type="gramStart"/>
      <w:r w:rsidRPr="001A1CC7">
        <w:rPr>
          <w:lang w:eastAsia="zh-CN"/>
        </w:rPr>
        <w:t>,从而提高我们在市场上的</w:t>
      </w:r>
      <w:r>
        <w:rPr>
          <w:rFonts w:hint="eastAsia"/>
          <w:lang w:eastAsia="zh-CN"/>
        </w:rPr>
        <w:t>竞争力</w:t>
      </w:r>
      <w:proofErr w:type="gramEnd"/>
      <w:r w:rsidRPr="001A1CC7">
        <w:rPr>
          <w:lang w:eastAsia="zh-CN"/>
        </w:rPr>
        <w:t>。但永久的改善也需要在影响环境保护的各个领域。因此</w:t>
      </w:r>
      <w:proofErr w:type="gramStart"/>
      <w:r w:rsidRPr="001A1CC7">
        <w:rPr>
          <w:lang w:eastAsia="zh-CN"/>
        </w:rPr>
        <w:t>,管理进行实现保护环境预防的原则,和利益相关者的负面影响降到最低</w:t>
      </w:r>
      <w:proofErr w:type="gramEnd"/>
      <w:r w:rsidRPr="001A1CC7">
        <w:rPr>
          <w:lang w:eastAsia="zh-CN"/>
        </w:rPr>
        <w:t>。我们也将它们应用于相关业务合作伙伴在一个合适的方式。</w:t>
      </w:r>
    </w:p>
    <w:p w14:paraId="43D91465" w14:textId="77777777" w:rsidR="00370B3E" w:rsidRDefault="00370B3E" w:rsidP="00370B3E">
      <w:pPr>
        <w:rPr>
          <w:lang w:eastAsia="zh-CN"/>
        </w:rPr>
      </w:pPr>
      <w:r w:rsidRPr="00B81CB0">
        <w:rPr>
          <w:lang w:eastAsia="zh-CN"/>
        </w:rPr>
        <w:t>成功实现战略意图,公司的管理</w:t>
      </w:r>
      <w:r>
        <w:rPr>
          <w:rFonts w:hint="eastAsia"/>
          <w:lang w:eastAsia="zh-CN"/>
        </w:rPr>
        <w:t>层</w:t>
      </w:r>
      <w:r w:rsidRPr="00B81CB0">
        <w:rPr>
          <w:lang w:eastAsia="zh-CN"/>
        </w:rPr>
        <w:t>准备和批准了这一政策,制定一个总体EMS目标框架。通过这些目标</w:t>
      </w:r>
      <w:proofErr w:type="gramStart"/>
      <w:r w:rsidRPr="00B81CB0">
        <w:rPr>
          <w:lang w:eastAsia="zh-CN"/>
        </w:rPr>
        <w:t>,公司采取必要的措施改进,使减少消极方面的影响</w:t>
      </w:r>
      <w:proofErr w:type="gramEnd"/>
      <w:r w:rsidRPr="00B81CB0">
        <w:rPr>
          <w:lang w:eastAsia="zh-CN"/>
        </w:rPr>
        <w:t>。</w:t>
      </w:r>
    </w:p>
    <w:p w14:paraId="79F03ECE" w14:textId="77777777" w:rsidR="00370B3E" w:rsidRDefault="00370B3E" w:rsidP="00370B3E">
      <w:pPr>
        <w:rPr>
          <w:lang w:eastAsia="zh-CN"/>
        </w:rPr>
      </w:pPr>
      <w:r w:rsidRPr="00B81CB0">
        <w:rPr>
          <w:lang w:eastAsia="zh-CN"/>
        </w:rPr>
        <w:t>公司的管理层将系统作为一个不断发展整体管理的一部分,有效地支持组织的战略意图的实现通过充分设置流程和控制参数的性能在环境保护领域的实现。</w:t>
      </w:r>
    </w:p>
    <w:p w14:paraId="10A6560E" w14:textId="77777777" w:rsidR="00370B3E" w:rsidRDefault="00370B3E" w:rsidP="00370B3E">
      <w:pPr>
        <w:rPr>
          <w:lang w:eastAsia="zh-CN"/>
        </w:rPr>
      </w:pPr>
      <w:r w:rsidRPr="00B81CB0">
        <w:rPr>
          <w:lang w:eastAsia="zh-CN"/>
        </w:rPr>
        <w:t>关键方面的成功和有效的管理是实现强制责任在立法和规范性,合同和其他要求。公司还承诺保护环境</w:t>
      </w:r>
      <w:proofErr w:type="gramStart"/>
      <w:r w:rsidRPr="00B81CB0">
        <w:rPr>
          <w:lang w:eastAsia="zh-CN"/>
        </w:rPr>
        <w:t>,采取措施防止污染</w:t>
      </w:r>
      <w:proofErr w:type="gramEnd"/>
      <w:r w:rsidRPr="00B81CB0">
        <w:rPr>
          <w:lang w:eastAsia="zh-CN"/>
        </w:rPr>
        <w:t>。</w:t>
      </w:r>
    </w:p>
    <w:p w14:paraId="0A8EF8AB" w14:textId="77777777" w:rsidR="00370B3E" w:rsidRPr="00370B3E" w:rsidRDefault="00370B3E" w:rsidP="00370B3E">
      <w:pPr>
        <w:ind w:left="0"/>
        <w:rPr>
          <w:lang w:val="cs-CZ"/>
        </w:rPr>
      </w:pPr>
    </w:p>
    <w:p w14:paraId="2F354523" w14:textId="77777777" w:rsidR="00370B3E" w:rsidRPr="00823F65" w:rsidRDefault="00370B3E" w:rsidP="00370B3E">
      <w:pPr>
        <w:ind w:left="0"/>
      </w:pPr>
    </w:p>
    <w:sectPr w:rsidR="00370B3E" w:rsidRPr="00823F65" w:rsidSect="00917CE8">
      <w:headerReference w:type="even" r:id="rId9"/>
      <w:headerReference w:type="default" r:id="rId10"/>
      <w:footerReference w:type="even" r:id="rId11"/>
      <w:footerReference w:type="default" r:id="rId12"/>
      <w:headerReference w:type="first" r:id="rId13"/>
      <w:footerReference w:type="first" r:id="rId14"/>
      <w:pgSz w:w="11907" w:h="16840" w:code="9"/>
      <w:pgMar w:top="3024" w:right="567" w:bottom="851" w:left="709" w:header="284" w:footer="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ACE2D" w14:textId="77777777" w:rsidR="00F928FF" w:rsidRDefault="00F928FF" w:rsidP="001341D9">
      <w:pPr>
        <w:spacing w:after="0" w:line="240" w:lineRule="auto"/>
      </w:pPr>
      <w:r>
        <w:separator/>
      </w:r>
    </w:p>
  </w:endnote>
  <w:endnote w:type="continuationSeparator" w:id="0">
    <w:p w14:paraId="55FE5453" w14:textId="77777777" w:rsidR="00F928FF" w:rsidRDefault="00F928FF" w:rsidP="0013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F2A0" w14:textId="77777777" w:rsidR="00A0716B" w:rsidRDefault="00A071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A7B0" w14:textId="77777777" w:rsidR="00921FDB" w:rsidRPr="008D5B36" w:rsidRDefault="00921FDB" w:rsidP="007A785D">
    <w:pPr>
      <w:pStyle w:val="Zpat"/>
      <w:ind w:right="-1"/>
      <w:jc w:val="center"/>
      <w:rPr>
        <w:color w:val="808080" w:themeColor="background1" w:themeShade="80"/>
        <w:sz w:val="8"/>
      </w:rPr>
    </w:pPr>
  </w:p>
  <w:p w14:paraId="07ACC409" w14:textId="15970C84" w:rsidR="00323617" w:rsidRPr="007A785D" w:rsidRDefault="00F23C5D" w:rsidP="007A785D">
    <w:pPr>
      <w:pStyle w:val="Zpat"/>
      <w:ind w:right="-1"/>
      <w:jc w:val="center"/>
      <w:rPr>
        <w:color w:val="808080" w:themeColor="background1" w:themeShade="80"/>
      </w:rPr>
    </w:pPr>
    <w:r>
      <w:rPr>
        <w:color w:val="808080" w:themeColor="background1" w:themeShade="80"/>
        <w:sz w:val="18"/>
      </w:rPr>
      <w:t xml:space="preserve">A paper copy is valid only on the print date: </w:t>
    </w:r>
    <w:r w:rsidR="00B506DE">
      <w:rPr>
        <w:color w:val="808080" w:themeColor="background1" w:themeShade="80"/>
        <w:sz w:val="18"/>
      </w:rPr>
      <w:fldChar w:fldCharType="begin"/>
    </w:r>
    <w:r w:rsidR="00B506DE">
      <w:rPr>
        <w:color w:val="808080" w:themeColor="background1" w:themeShade="80"/>
        <w:sz w:val="18"/>
      </w:rPr>
      <w:instrText xml:space="preserve"> TIME \@ "dd MMMM yyyy HH:mm:ss" </w:instrText>
    </w:r>
    <w:r w:rsidR="00B506DE">
      <w:rPr>
        <w:color w:val="808080" w:themeColor="background1" w:themeShade="80"/>
        <w:sz w:val="18"/>
      </w:rPr>
      <w:fldChar w:fldCharType="separate"/>
    </w:r>
    <w:r w:rsidR="00A0716B">
      <w:rPr>
        <w:noProof/>
        <w:color w:val="808080" w:themeColor="background1" w:themeShade="80"/>
        <w:sz w:val="18"/>
      </w:rPr>
      <w:t>27 February 2018 11:24:46</w:t>
    </w:r>
    <w:r w:rsidR="00B506DE">
      <w:rPr>
        <w:color w:val="808080" w:themeColor="background1" w:themeShade="80"/>
        <w:sz w:val="18"/>
      </w:rPr>
      <w:fldChar w:fldCharType="end"/>
    </w:r>
    <w:r>
      <w:rPr>
        <w:color w:val="808080" w:themeColor="background1" w:themeShade="80"/>
        <w:sz w:val="18"/>
      </w:rPr>
      <w:t>. If the document is used after the print date, check the revision validity</w:t>
    </w:r>
    <w:r>
      <w:rPr>
        <w:color w:val="808080" w:themeColor="background1" w:themeShade="80"/>
      </w:rPr>
      <w:t>.</w:t>
    </w:r>
  </w:p>
  <w:p w14:paraId="09E9507C" w14:textId="77777777" w:rsidR="007A785D" w:rsidRPr="00921FDB" w:rsidRDefault="008D5B36" w:rsidP="00323617">
    <w:pPr>
      <w:pStyle w:val="Zpat"/>
      <w:jc w:val="right"/>
      <w:rPr>
        <w:sz w:val="16"/>
      </w:rPr>
    </w:pPr>
    <w:r>
      <w:rPr>
        <w:rFonts w:ascii="Arial" w:hAnsi="Arial"/>
        <w:noProof/>
        <w:color w:val="808080" w:themeColor="background1" w:themeShade="80"/>
        <w:sz w:val="8"/>
        <w:szCs w:val="12"/>
        <w:lang w:val="cs-CZ" w:eastAsia="cs-CZ"/>
      </w:rPr>
      <w:drawing>
        <wp:anchor distT="0" distB="0" distL="114300" distR="114300" simplePos="0" relativeHeight="251660288" behindDoc="1" locked="0" layoutInCell="1" allowOverlap="1" wp14:anchorId="0E241594" wp14:editId="195C7F06">
          <wp:simplePos x="0" y="0"/>
          <wp:positionH relativeFrom="column">
            <wp:posOffset>2279015</wp:posOffset>
          </wp:positionH>
          <wp:positionV relativeFrom="paragraph">
            <wp:posOffset>25400</wp:posOffset>
          </wp:positionV>
          <wp:extent cx="2238375" cy="371475"/>
          <wp:effectExtent l="0" t="0" r="9525" b="9525"/>
          <wp:wrapThrough wrapText="bothSides">
            <wp:wrapPolygon edited="0">
              <wp:start x="0" y="0"/>
              <wp:lineTo x="0" y="21046"/>
              <wp:lineTo x="21508" y="21046"/>
              <wp:lineTo x="21508"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155E6" w14:textId="77777777" w:rsidR="001341D9" w:rsidRDefault="007A785D" w:rsidP="007A785D">
    <w:pPr>
      <w:pStyle w:val="Zpat"/>
      <w:tabs>
        <w:tab w:val="left" w:pos="4140"/>
        <w:tab w:val="left" w:pos="6105"/>
        <w:tab w:val="right" w:pos="10538"/>
      </w:tabs>
    </w:pP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B8B0" w14:textId="77777777" w:rsidR="00A0716B" w:rsidRDefault="00A071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4FAD" w14:textId="77777777" w:rsidR="00F928FF" w:rsidRDefault="00F928FF" w:rsidP="001341D9">
      <w:pPr>
        <w:spacing w:after="0" w:line="240" w:lineRule="auto"/>
      </w:pPr>
      <w:r>
        <w:separator/>
      </w:r>
    </w:p>
  </w:footnote>
  <w:footnote w:type="continuationSeparator" w:id="0">
    <w:p w14:paraId="7F6A0122" w14:textId="77777777" w:rsidR="00F928FF" w:rsidRDefault="00F928FF" w:rsidP="00134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F414" w14:textId="77777777" w:rsidR="00A0716B" w:rsidRDefault="00A071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CAC1" w14:textId="77777777" w:rsidR="000C7C19" w:rsidRPr="00F11E4F" w:rsidRDefault="000C7C19" w:rsidP="000C7C19">
    <w:pPr>
      <w:spacing w:after="0" w:line="240" w:lineRule="auto"/>
      <w:rPr>
        <w:rFonts w:eastAsia="Times New Roman" w:cs="Times New Roman"/>
        <w:color w:val="808080" w:themeColor="background1" w:themeShade="80"/>
        <w:sz w:val="20"/>
        <w:szCs w:val="24"/>
      </w:rPr>
    </w:pPr>
    <w:r>
      <w:rPr>
        <w:color w:val="808080" w:themeColor="background1" w:themeShade="80"/>
        <w:sz w:val="20"/>
        <w:szCs w:val="24"/>
      </w:rPr>
      <w:t>SF167, issue 1</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116"/>
      <w:gridCol w:w="1673"/>
    </w:tblGrid>
    <w:tr w:rsidR="009E6C17" w:rsidRPr="001E5CD0" w14:paraId="4941EFEA" w14:textId="77777777" w:rsidTr="00921FDB">
      <w:trPr>
        <w:cantSplit/>
        <w:trHeight w:hRule="exact" w:val="1143"/>
      </w:trPr>
      <w:tc>
        <w:tcPr>
          <w:tcW w:w="10632" w:type="dxa"/>
          <w:gridSpan w:val="3"/>
          <w:tcBorders>
            <w:bottom w:val="nil"/>
          </w:tcBorders>
          <w:vAlign w:val="center"/>
        </w:tcPr>
        <w:p w14:paraId="6E231911" w14:textId="77777777" w:rsidR="009E6C17" w:rsidRDefault="009E6C17" w:rsidP="009E6C17">
          <w:pPr>
            <w:spacing w:after="0" w:line="240" w:lineRule="auto"/>
            <w:jc w:val="center"/>
            <w:rPr>
              <w:rFonts w:eastAsia="Times New Roman" w:cs="Times New Roman"/>
              <w:b/>
              <w:bCs/>
              <w:noProof/>
              <w:sz w:val="28"/>
              <w:szCs w:val="28"/>
            </w:rPr>
          </w:pPr>
          <w:r>
            <w:rPr>
              <w:noProof/>
              <w:lang w:val="cs-CZ" w:eastAsia="cs-CZ"/>
            </w:rPr>
            <w:drawing>
              <wp:inline distT="0" distB="0" distL="0" distR="0" wp14:anchorId="7F2E9365" wp14:editId="38D99489">
                <wp:extent cx="1383030" cy="424180"/>
                <wp:effectExtent l="0" t="0" r="7620" b="0"/>
                <wp:docPr id="12" name="Picture 11" descr="C:\Users\paul\AppData\Local\Microsoft\Windows\Temporary Internet Files\Content.Word\Avire-CMYK-POS-Logo.jpg"/>
                <wp:cNvGraphicFramePr/>
                <a:graphic xmlns:a="http://schemas.openxmlformats.org/drawingml/2006/main">
                  <a:graphicData uri="http://schemas.openxmlformats.org/drawingml/2006/picture">
                    <pic:pic xmlns:pic="http://schemas.openxmlformats.org/drawingml/2006/picture">
                      <pic:nvPicPr>
                        <pic:cNvPr id="12" name="Picture 11" descr="C:\Users\paul\AppData\Local\Microsoft\Windows\Temporary Internet Files\Content.Word\Avire-CMYK-POS-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3030" cy="424180"/>
                        </a:xfrm>
                        <a:prstGeom prst="rect">
                          <a:avLst/>
                        </a:prstGeom>
                        <a:noFill/>
                        <a:ln>
                          <a:noFill/>
                        </a:ln>
                      </pic:spPr>
                    </pic:pic>
                  </a:graphicData>
                </a:graphic>
              </wp:inline>
            </w:drawing>
          </w:r>
        </w:p>
        <w:p w14:paraId="5385A619" w14:textId="5970B26E" w:rsidR="009E6C17" w:rsidRPr="001E5CD0" w:rsidRDefault="00812A57" w:rsidP="00473907">
          <w:pPr>
            <w:spacing w:after="0" w:line="240" w:lineRule="auto"/>
            <w:jc w:val="center"/>
            <w:rPr>
              <w:rFonts w:eastAsia="Times New Roman" w:cs="Times New Roman"/>
              <w:sz w:val="20"/>
              <w:szCs w:val="20"/>
            </w:rPr>
          </w:pPr>
          <w:r>
            <w:rPr>
              <w:b/>
              <w:sz w:val="28"/>
            </w:rPr>
            <w:t>EMS/Documentation</w:t>
          </w:r>
        </w:p>
      </w:tc>
    </w:tr>
    <w:tr w:rsidR="004A6366" w:rsidRPr="00E82EEB" w14:paraId="5E362FA0" w14:textId="77777777" w:rsidTr="00B56B8E">
      <w:trPr>
        <w:cantSplit/>
        <w:trHeight w:val="517"/>
      </w:trPr>
      <w:tc>
        <w:tcPr>
          <w:tcW w:w="1843" w:type="dxa"/>
        </w:tcPr>
        <w:p w14:paraId="019DADE4" w14:textId="77777777" w:rsidR="004A6366" w:rsidRDefault="004A6366" w:rsidP="00917CE8">
          <w:pPr>
            <w:spacing w:after="0" w:line="240" w:lineRule="auto"/>
            <w:ind w:left="0"/>
            <w:rPr>
              <w:rFonts w:eastAsia="Times New Roman" w:cs="Times New Roman"/>
              <w:szCs w:val="24"/>
            </w:rPr>
          </w:pPr>
          <w:r>
            <w:t>NUMBER:</w:t>
          </w:r>
        </w:p>
        <w:p w14:paraId="1924BB0E" w14:textId="3A55E4F9" w:rsidR="004A6366" w:rsidRPr="00A0716B" w:rsidRDefault="00A0716B" w:rsidP="00917CE8">
          <w:pPr>
            <w:spacing w:after="0" w:line="240" w:lineRule="auto"/>
            <w:ind w:left="0"/>
            <w:jc w:val="left"/>
            <w:rPr>
              <w:rFonts w:eastAsia="Times New Roman" w:cs="Arial"/>
              <w:b/>
              <w:szCs w:val="24"/>
            </w:rPr>
          </w:pPr>
          <w:r w:rsidRPr="00A0716B">
            <w:rPr>
              <w:b/>
            </w:rPr>
            <w:t>GCP01</w:t>
          </w:r>
        </w:p>
      </w:tc>
      <w:tc>
        <w:tcPr>
          <w:tcW w:w="7116" w:type="dxa"/>
          <w:vMerge w:val="restart"/>
        </w:tcPr>
        <w:p w14:paraId="3128B68B" w14:textId="77777777" w:rsidR="004A6366" w:rsidRDefault="00246791" w:rsidP="00456041">
          <w:pPr>
            <w:spacing w:after="0" w:line="240" w:lineRule="auto"/>
            <w:rPr>
              <w:rFonts w:eastAsia="Times New Roman" w:cs="Arial"/>
              <w:b/>
              <w:szCs w:val="28"/>
            </w:rPr>
          </w:pPr>
          <w:r>
            <w:t>NAME:</w:t>
          </w:r>
          <w:r>
            <w:rPr>
              <w:b/>
              <w:szCs w:val="28"/>
            </w:rPr>
            <w:t xml:space="preserve"> </w:t>
          </w:r>
        </w:p>
        <w:p w14:paraId="01EFC928" w14:textId="77777777" w:rsidR="00456041" w:rsidRPr="00456041" w:rsidRDefault="00473907" w:rsidP="00456041">
          <w:pPr>
            <w:spacing w:after="0" w:line="240" w:lineRule="auto"/>
            <w:jc w:val="center"/>
            <w:rPr>
              <w:rFonts w:eastAsia="Times New Roman" w:cs="Arial"/>
              <w:b/>
              <w:sz w:val="36"/>
              <w:szCs w:val="28"/>
            </w:rPr>
          </w:pPr>
          <w:r>
            <w:rPr>
              <w:b/>
              <w:sz w:val="36"/>
              <w:szCs w:val="28"/>
            </w:rPr>
            <w:t>EMS POLICY</w:t>
          </w:r>
          <w:bookmarkStart w:id="0" w:name="_GoBack"/>
          <w:bookmarkEnd w:id="0"/>
        </w:p>
      </w:tc>
      <w:tc>
        <w:tcPr>
          <w:tcW w:w="1673" w:type="dxa"/>
        </w:tcPr>
        <w:p w14:paraId="3870E60C" w14:textId="00E6BF70" w:rsidR="004A6366" w:rsidRPr="00823F65" w:rsidRDefault="004A6366" w:rsidP="00823F65">
          <w:pPr>
            <w:spacing w:after="0" w:line="240" w:lineRule="auto"/>
            <w:ind w:left="0"/>
            <w:jc w:val="left"/>
            <w:rPr>
              <w:rFonts w:eastAsia="Times New Roman" w:cs="Arial"/>
              <w:b/>
              <w:szCs w:val="24"/>
            </w:rPr>
          </w:pPr>
          <w:r>
            <w:t xml:space="preserve">REVISION NO.: </w:t>
          </w:r>
          <w:r>
            <w:br/>
            <w:t>3</w:t>
          </w:r>
        </w:p>
      </w:tc>
    </w:tr>
    <w:tr w:rsidR="004A6366" w:rsidRPr="00E82EEB" w14:paraId="338E4E7C" w14:textId="77777777" w:rsidTr="00B56B8E">
      <w:trPr>
        <w:cantSplit/>
        <w:trHeight w:val="517"/>
      </w:trPr>
      <w:tc>
        <w:tcPr>
          <w:tcW w:w="1843" w:type="dxa"/>
          <w:tcBorders>
            <w:bottom w:val="single" w:sz="4" w:space="0" w:color="auto"/>
          </w:tcBorders>
        </w:tcPr>
        <w:p w14:paraId="5FCE0216" w14:textId="77777777" w:rsidR="00473907" w:rsidRDefault="004A6366" w:rsidP="00917CE8">
          <w:pPr>
            <w:spacing w:after="0" w:line="240" w:lineRule="auto"/>
            <w:ind w:left="0"/>
            <w:rPr>
              <w:rFonts w:eastAsia="Times New Roman" w:cs="Times New Roman"/>
              <w:szCs w:val="24"/>
            </w:rPr>
          </w:pPr>
          <w:r>
            <w:t xml:space="preserve">VALID FROM: </w:t>
          </w:r>
        </w:p>
        <w:p w14:paraId="26DDFC3B" w14:textId="54F21819" w:rsidR="004A6366" w:rsidRPr="00E82EEB" w:rsidRDefault="00CD2F9E" w:rsidP="00917CE8">
          <w:pPr>
            <w:spacing w:after="0" w:line="240" w:lineRule="auto"/>
            <w:ind w:left="0"/>
            <w:jc w:val="left"/>
            <w:rPr>
              <w:rFonts w:eastAsia="Times New Roman" w:cs="Times New Roman"/>
              <w:szCs w:val="24"/>
            </w:rPr>
          </w:pPr>
          <w:r>
            <w:t>01/01/2018</w:t>
          </w:r>
        </w:p>
      </w:tc>
      <w:tc>
        <w:tcPr>
          <w:tcW w:w="7116" w:type="dxa"/>
          <w:vMerge/>
          <w:tcBorders>
            <w:bottom w:val="single" w:sz="4" w:space="0" w:color="auto"/>
          </w:tcBorders>
        </w:tcPr>
        <w:p w14:paraId="2D221FE7" w14:textId="77777777" w:rsidR="004A6366" w:rsidRPr="00E82EEB" w:rsidRDefault="004A6366" w:rsidP="009E6C17">
          <w:pPr>
            <w:spacing w:after="0" w:line="240" w:lineRule="auto"/>
            <w:rPr>
              <w:rFonts w:eastAsia="Times New Roman" w:cs="Times New Roman"/>
              <w:szCs w:val="24"/>
              <w:lang w:val="en-US"/>
            </w:rPr>
          </w:pPr>
        </w:p>
      </w:tc>
      <w:tc>
        <w:tcPr>
          <w:tcW w:w="1673" w:type="dxa"/>
          <w:tcBorders>
            <w:bottom w:val="single" w:sz="4" w:space="0" w:color="auto"/>
          </w:tcBorders>
        </w:tcPr>
        <w:p w14:paraId="112EAACD" w14:textId="77777777" w:rsidR="004A6366" w:rsidRDefault="004A6366" w:rsidP="00917CE8">
          <w:pPr>
            <w:spacing w:after="0" w:line="240" w:lineRule="auto"/>
            <w:ind w:left="0"/>
            <w:rPr>
              <w:rFonts w:eastAsia="Times New Roman" w:cs="Times New Roman"/>
              <w:szCs w:val="24"/>
            </w:rPr>
          </w:pPr>
          <w:r>
            <w:t>PAGE:</w:t>
          </w:r>
        </w:p>
        <w:p w14:paraId="465B31B2" w14:textId="31412314" w:rsidR="004A6366" w:rsidRPr="004A6366" w:rsidRDefault="004A6366" w:rsidP="00823F65">
          <w:pPr>
            <w:spacing w:after="0" w:line="240" w:lineRule="auto"/>
            <w:ind w:left="0"/>
            <w:rPr>
              <w:rFonts w:eastAsia="Times New Roman" w:cs="Times New Roman"/>
              <w:szCs w:val="24"/>
            </w:rPr>
          </w:pPr>
          <w:r w:rsidRPr="004A6366">
            <w:rPr>
              <w:rFonts w:eastAsia="Times New Roman" w:cs="Times New Roman"/>
              <w:szCs w:val="24"/>
            </w:rPr>
            <w:fldChar w:fldCharType="begin"/>
          </w:r>
          <w:r w:rsidRPr="004A6366">
            <w:rPr>
              <w:rFonts w:eastAsia="Times New Roman" w:cs="Times New Roman"/>
              <w:szCs w:val="24"/>
            </w:rPr>
            <w:instrText>PAGE  \* Arabic  \* MERGEFORMAT</w:instrText>
          </w:r>
          <w:r w:rsidRPr="004A6366">
            <w:rPr>
              <w:rFonts w:eastAsia="Times New Roman" w:cs="Times New Roman"/>
              <w:szCs w:val="24"/>
            </w:rPr>
            <w:fldChar w:fldCharType="separate"/>
          </w:r>
          <w:r w:rsidR="00A0716B">
            <w:rPr>
              <w:rFonts w:eastAsia="Times New Roman" w:cs="Times New Roman"/>
              <w:noProof/>
              <w:szCs w:val="24"/>
            </w:rPr>
            <w:t>1</w:t>
          </w:r>
          <w:r w:rsidRPr="004A6366">
            <w:rPr>
              <w:rFonts w:eastAsia="Times New Roman" w:cs="Times New Roman"/>
              <w:szCs w:val="24"/>
            </w:rPr>
            <w:fldChar w:fldCharType="end"/>
          </w:r>
          <w:r>
            <w:t xml:space="preserve"> of </w:t>
          </w:r>
          <w:r w:rsidRPr="004A6366">
            <w:rPr>
              <w:rFonts w:eastAsia="Times New Roman" w:cs="Times New Roman"/>
              <w:szCs w:val="24"/>
            </w:rPr>
            <w:fldChar w:fldCharType="begin"/>
          </w:r>
          <w:r w:rsidRPr="004A6366">
            <w:rPr>
              <w:rFonts w:eastAsia="Times New Roman" w:cs="Times New Roman"/>
              <w:szCs w:val="24"/>
            </w:rPr>
            <w:instrText>NUMPAGES  \* Arabic  \* MERGEFORMAT</w:instrText>
          </w:r>
          <w:r w:rsidRPr="004A6366">
            <w:rPr>
              <w:rFonts w:eastAsia="Times New Roman" w:cs="Times New Roman"/>
              <w:szCs w:val="24"/>
            </w:rPr>
            <w:fldChar w:fldCharType="separate"/>
          </w:r>
          <w:r w:rsidR="00A0716B">
            <w:rPr>
              <w:rFonts w:eastAsia="Times New Roman" w:cs="Times New Roman"/>
              <w:noProof/>
              <w:szCs w:val="24"/>
            </w:rPr>
            <w:t>3</w:t>
          </w:r>
          <w:r w:rsidRPr="004A6366">
            <w:rPr>
              <w:rFonts w:eastAsia="Times New Roman" w:cs="Times New Roman"/>
              <w:szCs w:val="24"/>
            </w:rPr>
            <w:fldChar w:fldCharType="end"/>
          </w:r>
        </w:p>
      </w:tc>
    </w:tr>
  </w:tbl>
  <w:p w14:paraId="7565B632" w14:textId="77777777" w:rsidR="00B950EF" w:rsidRPr="001E5CD0" w:rsidRDefault="00B950EF" w:rsidP="00B950EF">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4650" w14:textId="77777777" w:rsidR="00A0716B" w:rsidRDefault="00A071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A76"/>
    <w:multiLevelType w:val="multilevel"/>
    <w:tmpl w:val="76180E18"/>
    <w:lvl w:ilvl="0">
      <w:start w:val="1"/>
      <w:numFmt w:val="decimal"/>
      <w:pStyle w:val="Nadpis1"/>
      <w:lvlText w:val="%1"/>
      <w:lvlJc w:val="left"/>
      <w:pPr>
        <w:ind w:left="1140" w:hanging="432"/>
      </w:pPr>
    </w:lvl>
    <w:lvl w:ilvl="1">
      <w:start w:val="1"/>
      <w:numFmt w:val="decimal"/>
      <w:pStyle w:val="Nadpis2"/>
      <w:lvlText w:val="%1.%2"/>
      <w:lvlJc w:val="left"/>
      <w:pPr>
        <w:ind w:left="1284" w:hanging="576"/>
      </w:pPr>
    </w:lvl>
    <w:lvl w:ilvl="2">
      <w:start w:val="1"/>
      <w:numFmt w:val="decimal"/>
      <w:pStyle w:val="Nadpis3"/>
      <w:lvlText w:val="%1.%2.%3"/>
      <w:lvlJc w:val="left"/>
      <w:pPr>
        <w:ind w:left="1428" w:hanging="720"/>
      </w:pPr>
    </w:lvl>
    <w:lvl w:ilvl="3">
      <w:start w:val="1"/>
      <w:numFmt w:val="decimal"/>
      <w:pStyle w:val="Nadpis4"/>
      <w:lvlText w:val="%1.%2.%3.%4"/>
      <w:lvlJc w:val="left"/>
      <w:pPr>
        <w:ind w:left="1572" w:hanging="864"/>
      </w:pPr>
    </w:lvl>
    <w:lvl w:ilvl="4">
      <w:start w:val="1"/>
      <w:numFmt w:val="decimal"/>
      <w:pStyle w:val="Nadpis5"/>
      <w:lvlText w:val="%1.%2.%3.%4.%5"/>
      <w:lvlJc w:val="left"/>
      <w:pPr>
        <w:ind w:left="1716" w:hanging="1008"/>
      </w:pPr>
    </w:lvl>
    <w:lvl w:ilvl="5">
      <w:start w:val="1"/>
      <w:numFmt w:val="decimal"/>
      <w:pStyle w:val="Nadpis6"/>
      <w:lvlText w:val="%1.%2.%3.%4.%5.%6"/>
      <w:lvlJc w:val="left"/>
      <w:pPr>
        <w:ind w:left="1860" w:hanging="1152"/>
      </w:pPr>
    </w:lvl>
    <w:lvl w:ilvl="6">
      <w:start w:val="1"/>
      <w:numFmt w:val="decimal"/>
      <w:pStyle w:val="Nadpis7"/>
      <w:lvlText w:val="%1.%2.%3.%4.%5.%6.%7"/>
      <w:lvlJc w:val="left"/>
      <w:pPr>
        <w:ind w:left="2004" w:hanging="1296"/>
      </w:pPr>
    </w:lvl>
    <w:lvl w:ilvl="7">
      <w:start w:val="1"/>
      <w:numFmt w:val="decimal"/>
      <w:pStyle w:val="Nadpis8"/>
      <w:lvlText w:val="%1.%2.%3.%4.%5.%6.%7.%8"/>
      <w:lvlJc w:val="left"/>
      <w:pPr>
        <w:ind w:left="2148" w:hanging="1440"/>
      </w:pPr>
    </w:lvl>
    <w:lvl w:ilvl="8">
      <w:start w:val="1"/>
      <w:numFmt w:val="decimal"/>
      <w:pStyle w:val="Nadpis9"/>
      <w:lvlText w:val="%1.%2.%3.%4.%5.%6.%7.%8.%9"/>
      <w:lvlJc w:val="left"/>
      <w:pPr>
        <w:ind w:left="2292" w:hanging="1584"/>
      </w:pPr>
    </w:lvl>
  </w:abstractNum>
  <w:abstractNum w:abstractNumId="1" w15:restartNumberingAfterBreak="0">
    <w:nsid w:val="3F0F5DBE"/>
    <w:multiLevelType w:val="hybridMultilevel"/>
    <w:tmpl w:val="FE2A2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69"/>
    <w:rsid w:val="00012E6F"/>
    <w:rsid w:val="00072FD2"/>
    <w:rsid w:val="000915CE"/>
    <w:rsid w:val="000C7C19"/>
    <w:rsid w:val="001341D9"/>
    <w:rsid w:val="00140AE4"/>
    <w:rsid w:val="00143F7E"/>
    <w:rsid w:val="001E5CD0"/>
    <w:rsid w:val="00246791"/>
    <w:rsid w:val="00292AD6"/>
    <w:rsid w:val="002F64E4"/>
    <w:rsid w:val="00316BC8"/>
    <w:rsid w:val="00323617"/>
    <w:rsid w:val="00367452"/>
    <w:rsid w:val="00370B3E"/>
    <w:rsid w:val="003A27A4"/>
    <w:rsid w:val="003A4BE9"/>
    <w:rsid w:val="003E1DB1"/>
    <w:rsid w:val="00455B82"/>
    <w:rsid w:val="00456041"/>
    <w:rsid w:val="00473907"/>
    <w:rsid w:val="004821E1"/>
    <w:rsid w:val="004A6366"/>
    <w:rsid w:val="004F229A"/>
    <w:rsid w:val="00522398"/>
    <w:rsid w:val="00543551"/>
    <w:rsid w:val="0060250B"/>
    <w:rsid w:val="006312E5"/>
    <w:rsid w:val="006456CC"/>
    <w:rsid w:val="00676C15"/>
    <w:rsid w:val="00691AD4"/>
    <w:rsid w:val="006A4BCD"/>
    <w:rsid w:val="006C1504"/>
    <w:rsid w:val="006C7266"/>
    <w:rsid w:val="006D6569"/>
    <w:rsid w:val="00786779"/>
    <w:rsid w:val="007A005C"/>
    <w:rsid w:val="007A785D"/>
    <w:rsid w:val="00812A57"/>
    <w:rsid w:val="00821B66"/>
    <w:rsid w:val="00823F65"/>
    <w:rsid w:val="0087199F"/>
    <w:rsid w:val="00872DEE"/>
    <w:rsid w:val="008D0B72"/>
    <w:rsid w:val="008D5B36"/>
    <w:rsid w:val="008D5FBE"/>
    <w:rsid w:val="00917CE8"/>
    <w:rsid w:val="00921FDB"/>
    <w:rsid w:val="009C079F"/>
    <w:rsid w:val="009E63B6"/>
    <w:rsid w:val="009E6C17"/>
    <w:rsid w:val="009F5438"/>
    <w:rsid w:val="00A0716B"/>
    <w:rsid w:val="00A3090C"/>
    <w:rsid w:val="00AF5FBF"/>
    <w:rsid w:val="00B2513C"/>
    <w:rsid w:val="00B506DE"/>
    <w:rsid w:val="00B521D1"/>
    <w:rsid w:val="00B56B8E"/>
    <w:rsid w:val="00B950EF"/>
    <w:rsid w:val="00C41C51"/>
    <w:rsid w:val="00C61C76"/>
    <w:rsid w:val="00CD2F9E"/>
    <w:rsid w:val="00D43AFC"/>
    <w:rsid w:val="00DD0F44"/>
    <w:rsid w:val="00E760E8"/>
    <w:rsid w:val="00E82EEB"/>
    <w:rsid w:val="00E92E02"/>
    <w:rsid w:val="00F23C5D"/>
    <w:rsid w:val="00F4251C"/>
    <w:rsid w:val="00F928FF"/>
    <w:rsid w:val="00F96D48"/>
    <w:rsid w:val="00FA5256"/>
    <w:rsid w:val="00FC3B02"/>
  </w:rsids>
  <m:mathPr>
    <m:mathFont m:val="Cambria Math"/>
    <m:brkBin m:val="before"/>
    <m:brkBinSub m:val="--"/>
    <m:smallFrac m:val="0"/>
    <m:dispDef/>
    <m:lMargin m:val="0"/>
    <m:rMargin m:val="0"/>
    <m:defJc m:val="centerGroup"/>
    <m:wrapIndent m:val="1440"/>
    <m:intLim m:val="subSup"/>
    <m:naryLim m:val="undOvr"/>
  </m:mathPr>
  <w:themeFontLang w:val="cs-CZ"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1BB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CE8"/>
    <w:pPr>
      <w:ind w:left="708"/>
      <w:jc w:val="both"/>
    </w:pPr>
  </w:style>
  <w:style w:type="paragraph" w:styleId="Nadpis1">
    <w:name w:val="heading 1"/>
    <w:basedOn w:val="Normln"/>
    <w:next w:val="Normln"/>
    <w:link w:val="Nadpis1Char"/>
    <w:uiPriority w:val="9"/>
    <w:qFormat/>
    <w:rsid w:val="00917CE8"/>
    <w:pPr>
      <w:keepNext/>
      <w:keepLines/>
      <w:numPr>
        <w:numId w:val="2"/>
      </w:numPr>
      <w:spacing w:before="240" w:after="0"/>
      <w:outlineLvl w:val="0"/>
    </w:pPr>
    <w:rPr>
      <w:rFonts w:eastAsiaTheme="majorEastAsia" w:cstheme="majorBidi"/>
      <w:b/>
      <w:color w:val="000000" w:themeColor="text1"/>
      <w:sz w:val="24"/>
      <w:szCs w:val="32"/>
    </w:rPr>
  </w:style>
  <w:style w:type="paragraph" w:styleId="Nadpis2">
    <w:name w:val="heading 2"/>
    <w:basedOn w:val="Normln"/>
    <w:next w:val="Normln"/>
    <w:link w:val="Nadpis2Char"/>
    <w:uiPriority w:val="9"/>
    <w:semiHidden/>
    <w:unhideWhenUsed/>
    <w:qFormat/>
    <w:rsid w:val="00917CE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917CE8"/>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917CE8"/>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917CE8"/>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917CE8"/>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917CE8"/>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917CE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7CE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C07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079F"/>
    <w:rPr>
      <w:rFonts w:ascii="Tahoma" w:hAnsi="Tahoma" w:cs="Tahoma"/>
      <w:sz w:val="16"/>
      <w:szCs w:val="16"/>
    </w:rPr>
  </w:style>
  <w:style w:type="paragraph" w:styleId="Zhlav">
    <w:name w:val="header"/>
    <w:basedOn w:val="Normln"/>
    <w:link w:val="ZhlavChar"/>
    <w:uiPriority w:val="99"/>
    <w:unhideWhenUsed/>
    <w:rsid w:val="001341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41D9"/>
  </w:style>
  <w:style w:type="paragraph" w:styleId="Zpat">
    <w:name w:val="footer"/>
    <w:basedOn w:val="Normln"/>
    <w:link w:val="ZpatChar"/>
    <w:uiPriority w:val="99"/>
    <w:unhideWhenUsed/>
    <w:rsid w:val="001341D9"/>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1D9"/>
  </w:style>
  <w:style w:type="paragraph" w:styleId="Odstavecseseznamem">
    <w:name w:val="List Paragraph"/>
    <w:basedOn w:val="Normln"/>
    <w:uiPriority w:val="34"/>
    <w:qFormat/>
    <w:rsid w:val="00292AD6"/>
    <w:pPr>
      <w:ind w:left="720"/>
      <w:contextualSpacing/>
    </w:pPr>
  </w:style>
  <w:style w:type="table" w:styleId="Mkatabulky">
    <w:name w:val="Table Grid"/>
    <w:basedOn w:val="Normlntabulka"/>
    <w:uiPriority w:val="59"/>
    <w:rsid w:val="0036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246791"/>
    <w:rPr>
      <w:color w:val="808080"/>
    </w:rPr>
  </w:style>
  <w:style w:type="character" w:customStyle="1" w:styleId="Nadpis1Char">
    <w:name w:val="Nadpis 1 Char"/>
    <w:basedOn w:val="Standardnpsmoodstavce"/>
    <w:link w:val="Nadpis1"/>
    <w:uiPriority w:val="9"/>
    <w:rsid w:val="00917CE8"/>
    <w:rPr>
      <w:rFonts w:eastAsiaTheme="majorEastAsia" w:cstheme="majorBidi"/>
      <w:b/>
      <w:color w:val="000000" w:themeColor="text1"/>
      <w:sz w:val="24"/>
      <w:szCs w:val="32"/>
    </w:rPr>
  </w:style>
  <w:style w:type="character" w:customStyle="1" w:styleId="Nadpis2Char">
    <w:name w:val="Nadpis 2 Char"/>
    <w:basedOn w:val="Standardnpsmoodstavce"/>
    <w:link w:val="Nadpis2"/>
    <w:uiPriority w:val="9"/>
    <w:semiHidden/>
    <w:rsid w:val="00917CE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917CE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917CE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917CE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917CE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917CE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917CE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7CE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086B01-DAAE-4F77-AB43-F6B549A5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4192</Characters>
  <Application>Microsoft Office Word</Application>
  <DocSecurity>0</DocSecurity>
  <Lines>34</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Prochazkova</dc:creator>
  <cp:lastModifiedBy>Jana</cp:lastModifiedBy>
  <cp:revision>4</cp:revision>
  <cp:lastPrinted>2015-02-13T11:55:00Z</cp:lastPrinted>
  <dcterms:created xsi:type="dcterms:W3CDTF">2018-02-27T09:05:00Z</dcterms:created>
  <dcterms:modified xsi:type="dcterms:W3CDTF">2018-02-27T10:25:00Z</dcterms:modified>
</cp:coreProperties>
</file>